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17" w:rsidRPr="00C95B9B" w:rsidRDefault="00D76717" w:rsidP="00D76717">
      <w:pPr>
        <w:jc w:val="center"/>
        <w:rPr>
          <w:rFonts w:ascii="宋体" w:hAnsi="宋体" w:cs="宋体" w:hint="eastAsia"/>
          <w:b/>
          <w:sz w:val="32"/>
          <w:szCs w:val="32"/>
        </w:rPr>
      </w:pPr>
      <w:r w:rsidRPr="00C95B9B">
        <w:rPr>
          <w:rFonts w:ascii="宋体" w:hAnsi="宋体" w:cs="宋体" w:hint="eastAsia"/>
          <w:b/>
          <w:sz w:val="32"/>
          <w:szCs w:val="32"/>
        </w:rPr>
        <w:t>LED显示屏参数</w:t>
      </w:r>
      <w:r>
        <w:rPr>
          <w:rFonts w:ascii="宋体" w:hAnsi="宋体" w:cs="宋体" w:hint="eastAsia"/>
          <w:b/>
          <w:sz w:val="32"/>
          <w:szCs w:val="32"/>
        </w:rPr>
        <w:t>及</w:t>
      </w:r>
      <w:r w:rsidRPr="00C95B9B">
        <w:rPr>
          <w:rFonts w:ascii="宋体" w:hAnsi="宋体" w:cs="宋体" w:hint="eastAsia"/>
          <w:b/>
          <w:sz w:val="32"/>
          <w:szCs w:val="32"/>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8759"/>
      </w:tblGrid>
      <w:tr w:rsidR="00D76717" w:rsidTr="005E1B34">
        <w:trPr>
          <w:trHeight w:val="492"/>
          <w:jc w:val="center"/>
        </w:trPr>
        <w:tc>
          <w:tcPr>
            <w:tcW w:w="1218" w:type="dxa"/>
            <w:shd w:val="clear" w:color="000000" w:fill="BFBFBF"/>
            <w:vAlign w:val="center"/>
          </w:tcPr>
          <w:p w:rsidR="00D76717" w:rsidRDefault="00D76717" w:rsidP="005E1B34">
            <w:pPr>
              <w:widowControl/>
              <w:jc w:val="center"/>
              <w:rPr>
                <w:rFonts w:ascii="宋体" w:hAnsi="宋体" w:cs="宋体" w:hint="eastAsia"/>
                <w:b/>
                <w:bCs/>
                <w:szCs w:val="21"/>
              </w:rPr>
            </w:pPr>
            <w:bookmarkStart w:id="0" w:name="_Toc301195207"/>
            <w:bookmarkStart w:id="1" w:name="_Toc304227767"/>
            <w:bookmarkStart w:id="2" w:name="_Toc301364301"/>
            <w:bookmarkStart w:id="3" w:name="_Toc301534864"/>
            <w:bookmarkStart w:id="4" w:name="_Toc301619555"/>
            <w:bookmarkStart w:id="5" w:name="_Toc301300420"/>
            <w:bookmarkStart w:id="6" w:name="_Toc301617481"/>
            <w:bookmarkStart w:id="7" w:name="_Toc301359849"/>
            <w:r>
              <w:rPr>
                <w:rFonts w:ascii="宋体" w:hAnsi="宋体" w:cs="宋体" w:hint="eastAsia"/>
                <w:b/>
                <w:bCs/>
                <w:szCs w:val="21"/>
              </w:rPr>
              <w:t>设备名称</w:t>
            </w:r>
          </w:p>
        </w:tc>
        <w:tc>
          <w:tcPr>
            <w:tcW w:w="8759" w:type="dxa"/>
            <w:shd w:val="clear" w:color="000000" w:fill="BFBFBF"/>
            <w:vAlign w:val="center"/>
          </w:tcPr>
          <w:p w:rsidR="00D76717" w:rsidRDefault="00D76717" w:rsidP="005E1B34">
            <w:pPr>
              <w:widowControl/>
              <w:spacing w:line="320" w:lineRule="exact"/>
              <w:jc w:val="center"/>
              <w:rPr>
                <w:rFonts w:ascii="宋体" w:hAnsi="宋体" w:cs="宋体" w:hint="eastAsia"/>
                <w:b/>
                <w:bCs/>
                <w:szCs w:val="21"/>
              </w:rPr>
            </w:pPr>
            <w:r>
              <w:rPr>
                <w:rFonts w:ascii="宋体" w:hAnsi="宋体" w:cs="宋体" w:hint="eastAsia"/>
                <w:b/>
                <w:bCs/>
                <w:szCs w:val="21"/>
              </w:rPr>
              <w:t>技术参数要求</w:t>
            </w:r>
          </w:p>
        </w:tc>
      </w:tr>
      <w:tr w:rsidR="00D76717" w:rsidTr="005E1B34">
        <w:trPr>
          <w:trHeight w:val="656"/>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hint="eastAsia"/>
                <w:szCs w:val="21"/>
              </w:rPr>
            </w:pPr>
            <w:r>
              <w:rPr>
                <w:rFonts w:ascii="宋体" w:hAnsi="宋体" w:cs="宋体" w:hint="eastAsia"/>
                <w:szCs w:val="21"/>
              </w:rPr>
              <w:t>LED显示屏</w:t>
            </w:r>
          </w:p>
        </w:tc>
        <w:tc>
          <w:tcPr>
            <w:tcW w:w="8759" w:type="dxa"/>
          </w:tcPr>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亮度 ≥600cd/㎡ 亮度均匀性＞0.95</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屏幕水平视角 140±10度 屏幕垂直视角 130±10度</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最佳视距 ≥4m 使用环境 室内</w:t>
            </w:r>
          </w:p>
          <w:p w:rsidR="00D76717" w:rsidRDefault="00D76717" w:rsidP="005E1B34">
            <w:pPr>
              <w:spacing w:line="280" w:lineRule="exact"/>
              <w:rPr>
                <w:rFonts w:ascii="宋体" w:hAnsi="宋体" w:cs="宋体" w:hint="eastAsia"/>
                <w:szCs w:val="21"/>
              </w:rPr>
            </w:pPr>
            <w:r>
              <w:rPr>
                <w:rFonts w:ascii="宋体" w:hAnsi="宋体" w:cs="宋体" w:hint="eastAsia"/>
                <w:szCs w:val="21"/>
              </w:rPr>
              <w:t xml:space="preserve">每平方单元板最大功率 ≤465W/㎡                                                 </w:t>
            </w:r>
          </w:p>
          <w:p w:rsidR="00D76717" w:rsidRDefault="00D76717" w:rsidP="005E1B34">
            <w:pPr>
              <w:spacing w:line="280" w:lineRule="exact"/>
              <w:rPr>
                <w:rFonts w:ascii="宋体" w:hAnsi="宋体" w:cs="宋体" w:hint="eastAsia"/>
                <w:szCs w:val="21"/>
              </w:rPr>
            </w:pPr>
            <w:r>
              <w:rPr>
                <w:rFonts w:ascii="宋体" w:hAnsi="宋体" w:cs="宋体" w:hint="eastAsia"/>
                <w:szCs w:val="21"/>
              </w:rPr>
              <w:t>配电功率（每平方最大功率÷78%÷85%） ≤701W/m2</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灰度等级 红、绿、蓝各12-14bits 显示颜色 43980亿种</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换帧频率 ≥60帧/秒 刷新频率 ≥1920Hz</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控制方式 计算机控制，逐点一一对应，视频同步，实时显示 亮度调节 256级手动/自动</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 xml:space="preserve">输入信号 DVI/VGA，视频(多种制式)RGBHV、复合视频信号、S-VIDEO </w:t>
            </w:r>
            <w:proofErr w:type="spellStart"/>
            <w:r>
              <w:rPr>
                <w:rFonts w:ascii="宋体" w:hAnsi="宋体" w:cs="宋体" w:hint="eastAsia"/>
                <w:szCs w:val="21"/>
              </w:rPr>
              <w:t>YpbPr</w:t>
            </w:r>
            <w:proofErr w:type="spellEnd"/>
            <w:r>
              <w:rPr>
                <w:rFonts w:ascii="宋体" w:hAnsi="宋体" w:cs="宋体" w:hint="eastAsia"/>
                <w:szCs w:val="21"/>
              </w:rPr>
              <w:t xml:space="preserve">(HDTV) </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使用寿命 ≥10万小时 平均无故障时间 ≥1万小时</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衰减率(工作3年) ≤15％ 连续失控点 0</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离散失控点 ＜0.0001，出厂时为0 盲点率 ＜0.0003，出厂时为0</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工作温度范围 -20-40℃ 工作湿度范围 10％-65％RH(无结露)</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防护性能 超温/过载/掉电/图像补偿/各种校正技术/过流/过压/防雷(可选项)</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屏幕水平平整度 ＜1mm/㎡</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屏幕垂直平整度 ＜1mm/㎡</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单元板技术参数</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像数点间距 4mm 像素密度 62500Dots/㎡</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像素构成 1R1G1B 灯管封装 SMD2020</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尺寸(长*宽*厚) 256*128*14mm 重量 0.35kg±0.01kg</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结构特点 灯驱合一 单元板分辨率 64*32=2048Dots</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输入电压(直流) 4.5±0.1V 最大电流 ≤5.3A</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 xml:space="preserve">单元板功率 ≤24W 驱动方式 1/20恒流驱动  </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平均无故障时间 ≥1万小时</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监控自检技术：可实现LED单点检测，温度检测，电源检测。对可能发生的潜在故障记录日志，并向操作员发出警报信号。</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节能设计：可在软件中设置支持动态节能，降低功耗设置。</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除亮暗线功能：可通过软件中设置调节箱体的四个边和四个顶点的亮暗度，来改善亮暗线引起的视觉突兀。</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伽马调节：具备20条以上可调节的γ校正曲线</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亮度调节：支持亮度平滑调节功能；接地电阻：≤0.1（器具插座地端-金属外壳）；接触电流：≤3.5（L/N-金属机箱（可靠接地））</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抗电强度：在电源输入端两极与金属机箱（可靠接地）之间，施加50Hz，1500V，1min，应无击穿和飞弧现象、在电源输入端两极与塑料外壳之间，施加50Hz，3000V，1min，应无击穿和飞弧现象、在电源输入端两极与LED显示屏之间，施加50Hz，3000V，1min，应无击穿和飞弧现象。</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为了确保显示屏屏体质量，保证人员安全，LED显示屏在碰撞0.5J,暴露面1个面，正面承受5次碰撞的外壳机械碰撞试验以及施加30N±3N的外力推入防止人接近危险部件触具的防固体异物试验下，显示屏外壳无损坏。</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为确保屏体不受外界干扰、显示稳定，所投LED显示屏需通过检测其抗干扰等级达Class A级。</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所投LED显示屏产品需要依据SJ/T11281-2007发光二极管（LED）显示屏测试方式，出具在</w:t>
            </w:r>
            <w:r>
              <w:rPr>
                <w:rFonts w:ascii="宋体" w:hAnsi="宋体" w:cs="宋体" w:hint="eastAsia"/>
                <w:szCs w:val="21"/>
              </w:rPr>
              <w:lastRenderedPageBreak/>
              <w:t>1.1倍额定电源电压下，测试样品的电源线对金属外框间的对地漏电流，应不超过3.5mA（交流有效值）的对地漏电的第三方检测。</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为确保屏体在不同环境温度的影响下仍可正常工作使用，要求投标人所投LED显示屏必须是通过温度85℃、湿度85％RH的恒定湿热环境运行测试。</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为不影响屏体周边人员的健康，所投LED显示屏工作噪音在方圆1米内，噪音声压须低于20dBA</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为确保不影响观众的健康，所投LED显示屏不存在蓝光视网膜危害，其蓝光威害安全系数须达0类、无风险等级</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为确保屏体长时间在阳光暴晒下，屏体表面无明显的墨色颜色变化和开裂现象，要求投标人所投LED显示屏必须是通过168H的UVA340灯、辐照度0.76W/㎡的抗UV紫外线老化环境运行测试</w:t>
            </w:r>
          </w:p>
          <w:p w:rsidR="00D76717" w:rsidRDefault="00D76717" w:rsidP="005E1B34">
            <w:pPr>
              <w:spacing w:line="340" w:lineRule="exact"/>
              <w:jc w:val="left"/>
              <w:rPr>
                <w:rFonts w:ascii="宋体" w:hAnsi="宋体" w:cs="宋体" w:hint="eastAsia"/>
                <w:szCs w:val="21"/>
              </w:rPr>
            </w:pPr>
            <w:r>
              <w:rPr>
                <w:rFonts w:ascii="宋体" w:hAnsi="宋体" w:cs="宋体" w:hint="eastAsia"/>
                <w:szCs w:val="21"/>
              </w:rPr>
              <w:t>减少灰尘对电子产品故障率，所投产品必须通过防尘检测试验。</w:t>
            </w:r>
          </w:p>
          <w:p w:rsidR="00D76717" w:rsidRDefault="00D76717" w:rsidP="005E1B34">
            <w:pPr>
              <w:spacing w:line="340" w:lineRule="exact"/>
              <w:jc w:val="left"/>
              <w:rPr>
                <w:rFonts w:ascii="宋体" w:hAnsi="宋体" w:cs="宋体" w:hint="eastAsia"/>
                <w:b/>
                <w:bCs/>
                <w:szCs w:val="21"/>
              </w:rPr>
            </w:pPr>
            <w:r>
              <w:rPr>
                <w:rFonts w:ascii="宋体" w:hAnsi="宋体" w:cs="宋体" w:hint="eastAsia"/>
                <w:szCs w:val="21"/>
              </w:rPr>
              <w:t>以上需提供具有CNAS标识的权威机构出具的检测报告复印件加盖制造商公章。</w:t>
            </w:r>
          </w:p>
        </w:tc>
      </w:tr>
      <w:tr w:rsidR="00D76717" w:rsidTr="005E1B34">
        <w:trPr>
          <w:trHeight w:val="590"/>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hint="eastAsia"/>
                <w:szCs w:val="21"/>
              </w:rPr>
            </w:pPr>
            <w:r>
              <w:rPr>
                <w:rFonts w:ascii="宋体" w:hAnsi="宋体" w:cs="宋体" w:hint="eastAsia"/>
                <w:szCs w:val="21"/>
              </w:rPr>
              <w:lastRenderedPageBreak/>
              <w:t>开关电源</w:t>
            </w:r>
          </w:p>
        </w:tc>
        <w:tc>
          <w:tcPr>
            <w:tcW w:w="8759" w:type="dxa"/>
            <w:vAlign w:val="center"/>
          </w:tcPr>
          <w:p w:rsidR="00D76717" w:rsidRDefault="00D76717" w:rsidP="005E1B34">
            <w:pPr>
              <w:spacing w:line="340" w:lineRule="exact"/>
              <w:rPr>
                <w:rFonts w:ascii="宋体" w:hAnsi="宋体" w:cs="宋体"/>
                <w:color w:val="000000"/>
                <w:szCs w:val="21"/>
              </w:rPr>
            </w:pPr>
            <w:r>
              <w:rPr>
                <w:rFonts w:ascii="宋体" w:hAnsi="宋体" w:cs="宋体" w:hint="eastAsia"/>
                <w:color w:val="000000"/>
                <w:szCs w:val="21"/>
              </w:rPr>
              <w:t>4.5V 40A</w:t>
            </w:r>
          </w:p>
        </w:tc>
      </w:tr>
      <w:tr w:rsidR="00D76717" w:rsidTr="005E1B34">
        <w:trPr>
          <w:trHeight w:val="916"/>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hint="eastAsia"/>
                <w:color w:val="000000"/>
                <w:szCs w:val="21"/>
              </w:rPr>
            </w:pPr>
            <w:r>
              <w:rPr>
                <w:rFonts w:ascii="宋体" w:hAnsi="宋体" w:cs="宋体" w:hint="eastAsia"/>
                <w:color w:val="000000"/>
                <w:szCs w:val="21"/>
              </w:rPr>
              <w:t>接收卡</w:t>
            </w:r>
          </w:p>
        </w:tc>
        <w:tc>
          <w:tcPr>
            <w:tcW w:w="8759" w:type="dxa"/>
          </w:tcPr>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集成HUB75，无需再配转接板，更方便，成本更低；</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减少接插连接件，减少故障点，故障率更低；</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支持常规芯片实现高刷新、高灰度、高亮度；</w:t>
            </w:r>
          </w:p>
          <w:p w:rsidR="00D76717" w:rsidRDefault="00D76717" w:rsidP="005E1B34">
            <w:p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全新灰度引擎，低灰度表现更佳；</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细节处理更完美，可消除单元板设计引起的某行偏暗、低灰偏红、鬼影等细节问题；</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支持14bit精度的色度、亮度一体化逐点校正；</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支持所有常规芯片、PWM芯片和灯饰芯片；</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支持静态屏、1/2~1/64扫之间的任意扫描类型；</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支持任意抽点，支持数据偏移，可轻松实现各种异型屏、球形屏、创意显示屏；</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单卡支持16组RGB信号输出；</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支持超大带载面积，单卡带载128*512，256*256；</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先进设计，优质元器件，全自动高低温老化测试，零故障出厂；</w:t>
            </w:r>
          </w:p>
          <w:p w:rsidR="00D76717" w:rsidRDefault="00D76717" w:rsidP="005E1B34">
            <w:pPr>
              <w:numPr>
                <w:ilvl w:val="0"/>
                <w:numId w:val="1"/>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支持DC 3.3V~6V超宽工作电压，有效减弱电压波动带来的影响；</w:t>
            </w:r>
          </w:p>
          <w:p w:rsidR="00D76717" w:rsidRDefault="00D76717" w:rsidP="005E1B34">
            <w:pPr>
              <w:rPr>
                <w:rFonts w:ascii="宋体" w:hAnsi="宋体" w:cs="宋体" w:hint="eastAsia"/>
                <w:color w:val="000000"/>
                <w:szCs w:val="21"/>
              </w:rPr>
            </w:pPr>
            <w:r>
              <w:rPr>
                <w:rFonts w:ascii="宋体" w:hAnsi="宋体" w:cs="宋体" w:hint="eastAsia"/>
                <w:b/>
                <w:bCs/>
                <w:szCs w:val="21"/>
              </w:rPr>
              <w:t>提供</w:t>
            </w:r>
            <w:r>
              <w:rPr>
                <w:rFonts w:ascii="宋体" w:hAnsi="宋体" w:cs="宋体" w:hint="eastAsia"/>
                <w:b/>
                <w:bCs/>
                <w:color w:val="000000"/>
                <w:szCs w:val="21"/>
              </w:rPr>
              <w:t>制造厂家的参数确认函并加盖厂家公章</w:t>
            </w:r>
          </w:p>
        </w:tc>
      </w:tr>
      <w:tr w:rsidR="00D76717" w:rsidTr="005E1B34">
        <w:trPr>
          <w:trHeight w:val="636"/>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hint="eastAsia"/>
                <w:color w:val="000000"/>
                <w:szCs w:val="21"/>
              </w:rPr>
            </w:pPr>
            <w:r>
              <w:rPr>
                <w:rFonts w:ascii="宋体" w:hAnsi="宋体" w:cs="宋体" w:hint="eastAsia"/>
                <w:color w:val="000000"/>
                <w:szCs w:val="21"/>
              </w:rPr>
              <w:t>播放盒</w:t>
            </w:r>
          </w:p>
        </w:tc>
        <w:tc>
          <w:tcPr>
            <w:tcW w:w="8759" w:type="dxa"/>
            <w:vAlign w:val="center"/>
          </w:tcPr>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支持最大 35 万像素带载能力，最宽 2048 像素，最高 1200 像素</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支持云分级管理和多角色节目发布</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支持云监测报警并自动联动</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处理性能强大，支持 H.265 4K 高清视频硬解码播放</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8GB 容量</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多种播放方式</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支持U盘即插即播，U盘更新播放节目列表</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支持多屏同步播放</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支持定时指令</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窗口和素材</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支持多节目页播放，最多32个节目页面数量</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支持丰富的媒体素材，如图片、视频、文本、时钟等等，支持视频、图片缩放</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支持多窗口播放和叠加，可自由设定窗口大小和位置</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最多同时播放2个高清窗口或者1个4K视频播放窗口</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全方位控制方案</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支持多种控制平台的控制，LED精灵，手机、平板电脑APP控制</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支持多种不同应用软件进行管理，方便不同应用场合</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t>网络通信</w:t>
            </w:r>
          </w:p>
          <w:p w:rsidR="00D76717" w:rsidRDefault="00D76717" w:rsidP="005E1B34">
            <w:pPr>
              <w:numPr>
                <w:ilvl w:val="0"/>
                <w:numId w:val="2"/>
              </w:numPr>
              <w:rPr>
                <w:rFonts w:ascii="新宋体" w:eastAsia="新宋体" w:hAnsi="新宋体" w:cs="新宋体" w:hint="eastAsia"/>
                <w:szCs w:val="21"/>
                <w:shd w:val="clear" w:color="auto" w:fill="FFFFFF"/>
              </w:rPr>
            </w:pP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双频双模，支持</w:t>
            </w: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 xml:space="preserve"> 2.4G和5G频段、</w:t>
            </w: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热点模式或</w:t>
            </w: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客户端模式1</w:t>
            </w:r>
          </w:p>
          <w:p w:rsidR="00D76717" w:rsidRDefault="00D76717" w:rsidP="005E1B34">
            <w:pPr>
              <w:numPr>
                <w:ilvl w:val="0"/>
                <w:numId w:val="2"/>
              </w:numPr>
              <w:rPr>
                <w:rFonts w:ascii="新宋体" w:eastAsia="新宋体" w:hAnsi="新宋体" w:cs="新宋体" w:hint="eastAsia"/>
                <w:szCs w:val="21"/>
                <w:shd w:val="clear" w:color="auto" w:fill="FFFFFF"/>
              </w:rPr>
            </w:pPr>
            <w:r>
              <w:rPr>
                <w:rFonts w:ascii="新宋体" w:eastAsia="新宋体" w:hAnsi="新宋体" w:cs="新宋体" w:hint="eastAsia"/>
                <w:szCs w:val="21"/>
                <w:shd w:val="clear" w:color="auto" w:fill="FFFFFF"/>
              </w:rPr>
              <w:lastRenderedPageBreak/>
              <w:t>LAN，支持DHCP模式和静态模式</w:t>
            </w:r>
          </w:p>
          <w:p w:rsidR="00D76717" w:rsidRDefault="00D76717" w:rsidP="005E1B34">
            <w:pPr>
              <w:numPr>
                <w:ilvl w:val="0"/>
                <w:numId w:val="2"/>
              </w:numPr>
              <w:rPr>
                <w:rFonts w:ascii="宋体" w:hAnsi="宋体" w:cs="宋体" w:hint="eastAsia"/>
                <w:b/>
                <w:bCs/>
                <w:szCs w:val="21"/>
              </w:rPr>
            </w:pPr>
            <w:r>
              <w:rPr>
                <w:rFonts w:ascii="新宋体" w:eastAsia="新宋体" w:hAnsi="新宋体" w:cs="新宋体" w:hint="eastAsia"/>
                <w:szCs w:val="21"/>
                <w:shd w:val="clear" w:color="auto" w:fill="FFFFFF"/>
              </w:rPr>
              <w:t>4G通讯，支持各个国家的4G网络（选配）</w:t>
            </w:r>
          </w:p>
          <w:p w:rsidR="00D76717" w:rsidRDefault="00D76717" w:rsidP="005E1B34">
            <w:pPr>
              <w:numPr>
                <w:ilvl w:val="0"/>
                <w:numId w:val="2"/>
              </w:numPr>
              <w:rPr>
                <w:rFonts w:ascii="宋体" w:hAnsi="宋体" w:cs="宋体" w:hint="eastAsia"/>
                <w:b/>
                <w:bCs/>
                <w:szCs w:val="21"/>
              </w:rPr>
            </w:pPr>
            <w:r>
              <w:rPr>
                <w:rFonts w:ascii="新宋体" w:eastAsia="新宋体" w:hAnsi="新宋体" w:cs="新宋体" w:hint="eastAsia"/>
                <w:szCs w:val="21"/>
                <w:shd w:val="clear" w:color="auto" w:fill="FFFFFF"/>
              </w:rPr>
              <w:t>GPS定位（选配）</w:t>
            </w:r>
          </w:p>
          <w:p w:rsidR="00D76717" w:rsidRDefault="00D76717" w:rsidP="005E1B34">
            <w:pPr>
              <w:rPr>
                <w:rFonts w:ascii="宋体" w:hAnsi="宋体" w:cs="宋体" w:hint="eastAsia"/>
                <w:b/>
                <w:bCs/>
                <w:szCs w:val="21"/>
              </w:rPr>
            </w:pPr>
            <w:r>
              <w:rPr>
                <w:rFonts w:ascii="宋体" w:hAnsi="宋体" w:cs="宋体" w:hint="eastAsia"/>
                <w:b/>
                <w:bCs/>
                <w:szCs w:val="21"/>
              </w:rPr>
              <w:t>提供</w:t>
            </w:r>
            <w:r>
              <w:rPr>
                <w:rFonts w:ascii="宋体" w:hAnsi="宋体" w:cs="宋体" w:hint="eastAsia"/>
                <w:b/>
                <w:bCs/>
                <w:color w:val="000000"/>
                <w:szCs w:val="21"/>
              </w:rPr>
              <w:t>制造厂家的参数确认函并加盖厂家公章</w:t>
            </w:r>
          </w:p>
        </w:tc>
      </w:tr>
      <w:tr w:rsidR="00D76717" w:rsidTr="005E1B34">
        <w:trPr>
          <w:trHeight w:val="377"/>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hint="eastAsia"/>
                <w:szCs w:val="21"/>
              </w:rPr>
            </w:pPr>
            <w:r>
              <w:rPr>
                <w:rFonts w:ascii="宋体" w:hAnsi="宋体" w:cs="宋体" w:hint="eastAsia"/>
                <w:color w:val="000000"/>
                <w:szCs w:val="21"/>
              </w:rPr>
              <w:lastRenderedPageBreak/>
              <w:t>播放软件</w:t>
            </w:r>
          </w:p>
        </w:tc>
        <w:tc>
          <w:tcPr>
            <w:tcW w:w="8759" w:type="dxa"/>
          </w:tcPr>
          <w:p w:rsidR="00D76717" w:rsidRDefault="00D76717" w:rsidP="005E1B34">
            <w:pPr>
              <w:widowControl/>
              <w:spacing w:line="340" w:lineRule="exact"/>
              <w:rPr>
                <w:rFonts w:ascii="宋体" w:hAnsi="宋体" w:cs="宋体" w:hint="eastAsia"/>
                <w:bCs/>
                <w:color w:val="000000"/>
                <w:szCs w:val="21"/>
              </w:rPr>
            </w:pPr>
            <w:r>
              <w:rPr>
                <w:rFonts w:ascii="宋体" w:hAnsi="宋体" w:cs="宋体" w:hint="eastAsia"/>
                <w:bCs/>
                <w:color w:val="000000"/>
                <w:szCs w:val="21"/>
              </w:rPr>
              <w:t>1. 支持多种视频格式、图片、动画、Office文件、文字、时钟、走马灯、天气、计时、温湿度、流媒体、网页、采集卡、摄像头、</w:t>
            </w:r>
            <w:proofErr w:type="spellStart"/>
            <w:r>
              <w:rPr>
                <w:rFonts w:ascii="宋体" w:hAnsi="宋体" w:cs="宋体" w:hint="eastAsia"/>
                <w:bCs/>
                <w:color w:val="000000"/>
                <w:szCs w:val="21"/>
              </w:rPr>
              <w:t>Rss</w:t>
            </w:r>
            <w:proofErr w:type="spellEnd"/>
            <w:r>
              <w:rPr>
                <w:rFonts w:ascii="宋体" w:hAnsi="宋体" w:cs="宋体" w:hint="eastAsia"/>
                <w:bCs/>
                <w:color w:val="000000"/>
                <w:szCs w:val="21"/>
              </w:rPr>
              <w:t>简讯；</w:t>
            </w:r>
          </w:p>
          <w:p w:rsidR="00D76717" w:rsidRDefault="00D76717" w:rsidP="005E1B34">
            <w:pPr>
              <w:widowControl/>
              <w:spacing w:line="340" w:lineRule="exact"/>
              <w:rPr>
                <w:rFonts w:ascii="宋体" w:hAnsi="宋体" w:cs="宋体" w:hint="eastAsia"/>
                <w:bCs/>
                <w:color w:val="000000"/>
                <w:szCs w:val="21"/>
              </w:rPr>
            </w:pPr>
            <w:r>
              <w:rPr>
                <w:rFonts w:ascii="宋体" w:hAnsi="宋体" w:cs="宋体" w:hint="eastAsia"/>
                <w:bCs/>
                <w:color w:val="000000"/>
                <w:szCs w:val="21"/>
              </w:rPr>
              <w:t>2.丰富的媒体属性：包括透明、背景颜色、背景图片、透明度、音量、显示比例、出入场特效、特效速度、文字颜色、炫彩效果、字体、风格等；</w:t>
            </w:r>
          </w:p>
          <w:p w:rsidR="00D76717" w:rsidRDefault="00D76717" w:rsidP="005E1B34">
            <w:pPr>
              <w:widowControl/>
              <w:spacing w:line="340" w:lineRule="exact"/>
              <w:rPr>
                <w:rFonts w:ascii="宋体" w:hAnsi="宋体" w:cs="宋体" w:hint="eastAsia"/>
                <w:bCs/>
                <w:color w:val="000000"/>
                <w:szCs w:val="21"/>
              </w:rPr>
            </w:pPr>
            <w:r>
              <w:rPr>
                <w:rFonts w:ascii="宋体" w:hAnsi="宋体" w:cs="宋体" w:hint="eastAsia"/>
                <w:bCs/>
                <w:color w:val="000000"/>
                <w:szCs w:val="21"/>
              </w:rPr>
              <w:t>3. 页面支持一个或多个窗口；</w:t>
            </w:r>
          </w:p>
          <w:p w:rsidR="00D76717" w:rsidRDefault="00D76717" w:rsidP="005E1B34">
            <w:pPr>
              <w:widowControl/>
              <w:spacing w:line="340" w:lineRule="exact"/>
              <w:rPr>
                <w:rFonts w:ascii="宋体" w:hAnsi="宋体" w:cs="宋体" w:hint="eastAsia"/>
                <w:bCs/>
                <w:color w:val="000000"/>
                <w:szCs w:val="21"/>
              </w:rPr>
            </w:pPr>
            <w:r>
              <w:rPr>
                <w:rFonts w:ascii="宋体" w:hAnsi="宋体" w:cs="宋体" w:hint="eastAsia"/>
                <w:bCs/>
                <w:color w:val="000000"/>
                <w:szCs w:val="21"/>
              </w:rPr>
              <w:t>4. 支持多个窗口个数不同的页面按次数或播放时长切换播放，且切换过程平滑无黑帧；</w:t>
            </w:r>
          </w:p>
          <w:p w:rsidR="00D76717" w:rsidRDefault="00D76717" w:rsidP="005E1B34">
            <w:pPr>
              <w:widowControl/>
              <w:spacing w:line="340" w:lineRule="exact"/>
              <w:rPr>
                <w:rFonts w:ascii="宋体" w:hAnsi="宋体" w:cs="宋体" w:hint="eastAsia"/>
                <w:bCs/>
                <w:color w:val="000000"/>
                <w:szCs w:val="21"/>
              </w:rPr>
            </w:pPr>
            <w:r>
              <w:rPr>
                <w:rFonts w:ascii="宋体" w:hAnsi="宋体" w:cs="宋体" w:hint="eastAsia"/>
                <w:bCs/>
                <w:color w:val="000000"/>
                <w:szCs w:val="21"/>
              </w:rPr>
              <w:t>5. 可设置不同的日期和时间播放不同的节目页；</w:t>
            </w:r>
          </w:p>
          <w:p w:rsidR="00D76717" w:rsidRDefault="00D76717" w:rsidP="005E1B34">
            <w:pPr>
              <w:widowControl/>
              <w:spacing w:line="340" w:lineRule="exact"/>
              <w:rPr>
                <w:rFonts w:ascii="宋体" w:hAnsi="宋体" w:cs="宋体" w:hint="eastAsia"/>
                <w:bCs/>
                <w:color w:val="000000"/>
                <w:szCs w:val="21"/>
              </w:rPr>
            </w:pPr>
            <w:r>
              <w:rPr>
                <w:rFonts w:ascii="宋体" w:hAnsi="宋体" w:cs="宋体" w:hint="eastAsia"/>
                <w:bCs/>
                <w:color w:val="000000"/>
                <w:szCs w:val="21"/>
              </w:rPr>
              <w:t>6. 可实现多台异地显示屏同步播放；</w:t>
            </w:r>
          </w:p>
          <w:p w:rsidR="00D76717" w:rsidRDefault="00D76717" w:rsidP="005E1B34">
            <w:pPr>
              <w:widowControl/>
              <w:spacing w:line="340" w:lineRule="exact"/>
              <w:rPr>
                <w:rFonts w:ascii="宋体" w:hAnsi="宋体" w:cs="宋体" w:hint="eastAsia"/>
                <w:szCs w:val="21"/>
              </w:rPr>
            </w:pPr>
            <w:r>
              <w:rPr>
                <w:rFonts w:ascii="宋体" w:hAnsi="宋体" w:cs="宋体" w:hint="eastAsia"/>
                <w:bCs/>
                <w:color w:val="000000"/>
                <w:szCs w:val="21"/>
              </w:rPr>
              <w:t xml:space="preserve">7. 可通过一台计算机的软件远程控制和发布播放方案到其它显示屏的软件; </w:t>
            </w:r>
            <w:r>
              <w:rPr>
                <w:rFonts w:ascii="宋体" w:hAnsi="宋体" w:cs="宋体" w:hint="eastAsia"/>
                <w:szCs w:val="21"/>
              </w:rPr>
              <w:t xml:space="preserve"> </w:t>
            </w:r>
          </w:p>
        </w:tc>
      </w:tr>
      <w:tr w:rsidR="00D76717" w:rsidTr="005E1B34">
        <w:trPr>
          <w:trHeight w:val="471"/>
          <w:jc w:val="center"/>
        </w:trPr>
        <w:tc>
          <w:tcPr>
            <w:tcW w:w="1218" w:type="dxa"/>
            <w:tcBorders>
              <w:top w:val="single" w:sz="4" w:space="0" w:color="auto"/>
              <w:bottom w:val="single" w:sz="4" w:space="0" w:color="auto"/>
            </w:tcBorders>
            <w:shd w:val="clear" w:color="000000" w:fill="FFFFFF"/>
            <w:vAlign w:val="center"/>
          </w:tcPr>
          <w:p w:rsidR="00D76717" w:rsidRDefault="00D76717" w:rsidP="005E1B34">
            <w:pPr>
              <w:widowControl/>
              <w:spacing w:line="240" w:lineRule="exact"/>
              <w:jc w:val="center"/>
              <w:rPr>
                <w:rFonts w:ascii="宋体" w:hAnsi="宋体" w:cs="宋体" w:hint="eastAsia"/>
                <w:bCs/>
                <w:szCs w:val="21"/>
              </w:rPr>
            </w:pPr>
            <w:r>
              <w:rPr>
                <w:rFonts w:ascii="宋体" w:hAnsi="宋体" w:cs="宋体" w:hint="eastAsia"/>
                <w:bCs/>
                <w:szCs w:val="21"/>
              </w:rPr>
              <w:t>综合布线</w:t>
            </w:r>
          </w:p>
        </w:tc>
        <w:tc>
          <w:tcPr>
            <w:tcW w:w="8759" w:type="dxa"/>
            <w:tcBorders>
              <w:top w:val="single" w:sz="4" w:space="0" w:color="auto"/>
              <w:bottom w:val="single" w:sz="4" w:space="0" w:color="auto"/>
            </w:tcBorders>
          </w:tcPr>
          <w:p w:rsidR="00D76717" w:rsidRDefault="00D76717" w:rsidP="005E1B34">
            <w:pPr>
              <w:spacing w:line="280" w:lineRule="exact"/>
              <w:rPr>
                <w:rFonts w:ascii="宋体" w:hAnsi="宋体" w:cs="宋体" w:hint="eastAsia"/>
                <w:bCs/>
                <w:color w:val="000000"/>
                <w:szCs w:val="21"/>
              </w:rPr>
            </w:pPr>
            <w:r>
              <w:rPr>
                <w:rFonts w:ascii="宋体" w:hAnsi="宋体" w:cs="宋体" w:hint="eastAsia"/>
                <w:bCs/>
                <w:color w:val="000000"/>
                <w:szCs w:val="21"/>
              </w:rPr>
              <w:t>2.5MM2电缆线（纯铜）国标</w:t>
            </w:r>
          </w:p>
          <w:p w:rsidR="00D76717" w:rsidRDefault="00D76717" w:rsidP="005E1B34">
            <w:pPr>
              <w:spacing w:line="280" w:lineRule="exact"/>
              <w:rPr>
                <w:rFonts w:ascii="宋体" w:hAnsi="宋体" w:cs="宋体" w:hint="eastAsia"/>
                <w:bCs/>
                <w:color w:val="000000"/>
                <w:szCs w:val="21"/>
              </w:rPr>
            </w:pPr>
            <w:r>
              <w:rPr>
                <w:rFonts w:ascii="宋体" w:hAnsi="宋体" w:cs="宋体" w:hint="eastAsia"/>
                <w:bCs/>
                <w:color w:val="000000"/>
                <w:szCs w:val="21"/>
              </w:rPr>
              <w:t>6类纯铜网线（需要冗余）</w:t>
            </w:r>
          </w:p>
        </w:tc>
      </w:tr>
      <w:bookmarkEnd w:id="0"/>
      <w:bookmarkEnd w:id="1"/>
      <w:bookmarkEnd w:id="2"/>
      <w:bookmarkEnd w:id="3"/>
      <w:bookmarkEnd w:id="4"/>
      <w:bookmarkEnd w:id="5"/>
      <w:bookmarkEnd w:id="6"/>
      <w:bookmarkEnd w:id="7"/>
    </w:tbl>
    <w:p w:rsidR="00D76717" w:rsidRDefault="00D76717" w:rsidP="00D76717">
      <w:pPr>
        <w:rPr>
          <w:rFonts w:hint="eastAsia"/>
        </w:rPr>
      </w:pPr>
    </w:p>
    <w:p w:rsidR="00A71749" w:rsidRPr="00D76717" w:rsidRDefault="00A71749"/>
    <w:sectPr w:rsidR="00A71749" w:rsidRPr="00D76717" w:rsidSect="00D441A8">
      <w:pgSz w:w="11906" w:h="16838"/>
      <w:pgMar w:top="851" w:right="851" w:bottom="851" w:left="85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C2B69"/>
    <w:multiLevelType w:val="singleLevel"/>
    <w:tmpl w:val="C58C2B69"/>
    <w:lvl w:ilvl="0">
      <w:start w:val="1"/>
      <w:numFmt w:val="decimal"/>
      <w:suff w:val="nothing"/>
      <w:lvlText w:val="%1、"/>
      <w:lvlJc w:val="left"/>
    </w:lvl>
  </w:abstractNum>
  <w:abstractNum w:abstractNumId="1">
    <w:nsid w:val="6C10D879"/>
    <w:multiLevelType w:val="singleLevel"/>
    <w:tmpl w:val="6C10D87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717"/>
    <w:rsid w:val="00066D4A"/>
    <w:rsid w:val="00275C43"/>
    <w:rsid w:val="002D73CE"/>
    <w:rsid w:val="00626E5F"/>
    <w:rsid w:val="0075682A"/>
    <w:rsid w:val="00777A2C"/>
    <w:rsid w:val="00970FB2"/>
    <w:rsid w:val="00A71749"/>
    <w:rsid w:val="00BB1C19"/>
    <w:rsid w:val="00D76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2020-12-17T06:59:00Z</dcterms:created>
  <dcterms:modified xsi:type="dcterms:W3CDTF">2020-12-17T07:20:00Z</dcterms:modified>
</cp:coreProperties>
</file>