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Ansi="宋体"/>
          <w:b/>
          <w:sz w:val="32"/>
        </w:rPr>
      </w:pPr>
      <w:r>
        <w:rPr>
          <w:rFonts w:hAnsi="宋体"/>
          <w:b/>
          <w:sz w:val="32"/>
        </w:rPr>
        <w:t>可疑且非预期严重</w:t>
      </w:r>
      <w:r>
        <w:rPr>
          <w:rFonts w:hAnsi="宋体"/>
          <w:b w:val="0"/>
          <w:bCs/>
          <w:sz w:val="32"/>
        </w:rPr>
        <w:t>不良</w:t>
      </w:r>
      <w:r>
        <w:rPr>
          <w:rFonts w:hAnsi="宋体"/>
          <w:b/>
          <w:sz w:val="32"/>
        </w:rPr>
        <w:t>反应</w:t>
      </w:r>
      <w:r>
        <w:rPr>
          <w:rFonts w:hint="eastAsia" w:hAnsi="宋体"/>
          <w:b/>
          <w:sz w:val="32"/>
          <w:lang w:eastAsia="zh-CN"/>
        </w:rPr>
        <w:t>（</w:t>
      </w:r>
      <w:r>
        <w:rPr>
          <w:rFonts w:hAnsi="宋体"/>
          <w:b/>
          <w:sz w:val="32"/>
        </w:rPr>
        <w:t>SUSAR</w:t>
      </w:r>
      <w:r>
        <w:rPr>
          <w:rFonts w:hint="eastAsia" w:hAnsi="宋体"/>
          <w:b/>
          <w:sz w:val="32"/>
          <w:lang w:eastAsia="zh-CN"/>
        </w:rPr>
        <w:t>）</w:t>
      </w:r>
      <w:r>
        <w:rPr>
          <w:rFonts w:hAnsi="宋体"/>
          <w:b/>
          <w:sz w:val="32"/>
        </w:rPr>
        <w:t>审查申请表</w:t>
      </w:r>
    </w:p>
    <w:p>
      <w:pPr>
        <w:adjustRightInd w:val="0"/>
        <w:snapToGrid w:val="0"/>
        <w:jc w:val="both"/>
        <w:rPr>
          <w:rFonts w:hint="default" w:hAnsi="宋体" w:eastAsia="宋体"/>
          <w:b w:val="0"/>
          <w:bCs/>
          <w:sz w:val="18"/>
          <w:szCs w:val="18"/>
          <w:lang w:val="en-US" w:eastAsia="zh-CN"/>
        </w:rPr>
      </w:pPr>
      <w:r>
        <w:rPr>
          <w:rFonts w:hint="eastAsia" w:hAnsi="宋体"/>
          <w:b w:val="0"/>
          <w:bCs/>
          <w:sz w:val="18"/>
          <w:szCs w:val="18"/>
          <w:lang w:val="en-US" w:eastAsia="zh-CN"/>
        </w:rPr>
        <w:t>受理号：</w:t>
      </w:r>
    </w:p>
    <w:p>
      <w:pPr>
        <w:spacing w:line="144" w:lineRule="exact"/>
      </w:pPr>
    </w:p>
    <w:tbl>
      <w:tblPr>
        <w:tblStyle w:val="6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634"/>
        <w:gridCol w:w="615"/>
        <w:gridCol w:w="994"/>
        <w:gridCol w:w="1557"/>
        <w:gridCol w:w="2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96" w:line="220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项目类别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96" w:line="220" w:lineRule="auto"/>
              <w:ind w:left="2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□药物 □医疗器械 □</w:t>
            </w:r>
            <w:r>
              <w:rPr>
                <w:rFonts w:ascii="宋体" w:hAnsi="宋体" w:eastAsia="宋体" w:cs="宋体"/>
                <w:sz w:val="18"/>
                <w:szCs w:val="18"/>
              </w:rPr>
              <w:t>IIT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6" w:line="22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0" w:line="220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者/项目来源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78" w:line="220" w:lineRule="auto"/>
              <w:ind w:left="343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专业组</w:t>
            </w:r>
          </w:p>
        </w:tc>
        <w:tc>
          <w:tcPr>
            <w:tcW w:w="42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78" w:line="220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院主要研究者</w:t>
            </w:r>
          </w:p>
        </w:tc>
        <w:tc>
          <w:tcPr>
            <w:tcW w:w="211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332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0" w:line="221" w:lineRule="auto"/>
              <w:ind w:left="3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一、可疑且非预期的不</w:t>
            </w:r>
            <w:r>
              <w:rPr>
                <w:rFonts w:ascii="宋体" w:hAnsi="宋体" w:eastAsia="宋体" w:cs="宋体"/>
                <w:sz w:val="18"/>
                <w:szCs w:val="18"/>
              </w:rPr>
              <w:t>良反应的情况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77" w:line="219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告类型</w:t>
            </w:r>
          </w:p>
        </w:tc>
        <w:tc>
          <w:tcPr>
            <w:tcW w:w="4243" w:type="dxa"/>
            <w:gridSpan w:val="3"/>
            <w:vAlign w:val="top"/>
          </w:tcPr>
          <w:p>
            <w:pPr>
              <w:spacing w:before="77" w:line="220" w:lineRule="auto"/>
              <w:ind w:left="1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□首次   □随</w:t>
            </w:r>
            <w:r>
              <w:rPr>
                <w:rFonts w:ascii="宋体" w:hAnsi="宋体" w:eastAsia="宋体" w:cs="宋体"/>
                <w:sz w:val="18"/>
                <w:szCs w:val="18"/>
              </w:rPr>
              <w:t>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z w:val="18"/>
                <w:szCs w:val="18"/>
              </w:rPr>
              <w:t>总结</w:t>
            </w:r>
          </w:p>
        </w:tc>
        <w:tc>
          <w:tcPr>
            <w:tcW w:w="1557" w:type="dxa"/>
            <w:vAlign w:val="top"/>
          </w:tcPr>
          <w:p>
            <w:pPr>
              <w:spacing w:before="77" w:line="220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SUSAR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诊断</w:t>
            </w:r>
          </w:p>
        </w:tc>
        <w:tc>
          <w:tcPr>
            <w:tcW w:w="211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0" w:line="221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发生时间</w:t>
            </w:r>
          </w:p>
        </w:tc>
        <w:tc>
          <w:tcPr>
            <w:tcW w:w="42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80" w:line="219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告时间</w:t>
            </w:r>
          </w:p>
        </w:tc>
        <w:tc>
          <w:tcPr>
            <w:tcW w:w="211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0" w:line="220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的判断</w:t>
            </w:r>
          </w:p>
        </w:tc>
        <w:tc>
          <w:tcPr>
            <w:tcW w:w="4243" w:type="dxa"/>
            <w:gridSpan w:val="3"/>
            <w:vAlign w:val="top"/>
          </w:tcPr>
          <w:p>
            <w:pPr>
              <w:spacing w:before="80" w:line="221" w:lineRule="auto"/>
              <w:ind w:left="1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预期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□非预期</w:t>
            </w:r>
          </w:p>
        </w:tc>
        <w:tc>
          <w:tcPr>
            <w:tcW w:w="1557" w:type="dxa"/>
            <w:vAlign w:val="top"/>
          </w:tcPr>
          <w:p>
            <w:pPr>
              <w:spacing w:before="80" w:line="221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是否为SUS</w:t>
            </w:r>
            <w:r>
              <w:rPr>
                <w:rFonts w:ascii="宋体" w:hAnsi="宋体" w:eastAsia="宋体" w:cs="宋体"/>
                <w:sz w:val="18"/>
                <w:szCs w:val="18"/>
              </w:rPr>
              <w:t>AR</w:t>
            </w:r>
          </w:p>
        </w:tc>
        <w:tc>
          <w:tcPr>
            <w:tcW w:w="2115" w:type="dxa"/>
            <w:tcBorders>
              <w:right w:val="single" w:color="000000" w:sz="8" w:space="0"/>
            </w:tcBorders>
            <w:vAlign w:val="top"/>
          </w:tcPr>
          <w:p>
            <w:pPr>
              <w:spacing w:before="80" w:line="221" w:lineRule="auto"/>
              <w:ind w:left="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是  口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SUSAR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程度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69" w:line="295" w:lineRule="auto"/>
              <w:ind w:left="54" w:right="108" w:firstLine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口导致死亡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危及生命(指患者即刻存在死亡的风险，并非是指假设将来</w:t>
            </w:r>
            <w:r>
              <w:rPr>
                <w:rFonts w:ascii="宋体" w:hAnsi="宋体" w:eastAsia="宋体" w:cs="宋体"/>
                <w:sz w:val="18"/>
                <w:szCs w:val="18"/>
              </w:rPr>
              <w:t>发展严重时可能出现死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亡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  <w:p>
            <w:pPr>
              <w:spacing w:before="69" w:line="295" w:lineRule="auto"/>
              <w:ind w:left="54" w:right="108" w:firstLine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z w:val="18"/>
                <w:szCs w:val="18"/>
              </w:rPr>
              <w:t>导致住院或住院时间延长，永久或显著的功能丧失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□致畸、致出生缺陷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□其他重要医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学事件(可能不</w:t>
            </w:r>
            <w:r>
              <w:rPr>
                <w:rFonts w:ascii="宋体" w:hAnsi="宋体" w:eastAsia="宋体" w:cs="宋体"/>
                <w:sz w:val="18"/>
                <w:szCs w:val="18"/>
              </w:rPr>
              <w:t>会立即危及生命、死亡或住院，但如需要采取医学措施来预防以上情形发生，也通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常被视为是严重的医</w:t>
            </w:r>
            <w:r>
              <w:rPr>
                <w:rFonts w:ascii="宋体" w:hAnsi="宋体" w:eastAsia="宋体" w:cs="宋体"/>
                <w:sz w:val="18"/>
                <w:szCs w:val="18"/>
              </w:rPr>
              <w:t>学事件)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1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SUSAR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转归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81" w:line="220" w:lineRule="auto"/>
              <w:ind w:left="1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口痊愈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口痊愈伴有后遗症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口好转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□无好转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口死亡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口不</w:t>
            </w:r>
            <w:r>
              <w:rPr>
                <w:rFonts w:ascii="宋体" w:hAnsi="宋体" w:eastAsia="宋体" w:cs="宋体"/>
                <w:sz w:val="18"/>
                <w:szCs w:val="18"/>
              </w:rPr>
              <w:t>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0" w:line="222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死亡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时间</w:t>
            </w:r>
          </w:p>
        </w:tc>
        <w:tc>
          <w:tcPr>
            <w:tcW w:w="2634" w:type="dxa"/>
            <w:vAlign w:val="top"/>
          </w:tcPr>
          <w:p>
            <w:pPr>
              <w:spacing w:before="80" w:line="220" w:lineRule="auto"/>
              <w:ind w:left="6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  <w:tc>
          <w:tcPr>
            <w:tcW w:w="1609" w:type="dxa"/>
            <w:gridSpan w:val="2"/>
            <w:vAlign w:val="top"/>
          </w:tcPr>
          <w:p>
            <w:pPr>
              <w:spacing w:before="80" w:line="220" w:lineRule="auto"/>
              <w:ind w:left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是否尸检</w:t>
            </w:r>
          </w:p>
        </w:tc>
        <w:tc>
          <w:tcPr>
            <w:tcW w:w="367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80" w:line="219" w:lineRule="auto"/>
              <w:ind w:left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口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否  口是(附尸检报告)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4051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82" w:line="22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试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验用药品名称：</w:t>
            </w:r>
          </w:p>
        </w:tc>
        <w:tc>
          <w:tcPr>
            <w:tcW w:w="5281" w:type="dxa"/>
            <w:gridSpan w:val="4"/>
            <w:tcBorders>
              <w:right w:val="single" w:color="000000" w:sz="8" w:space="0"/>
            </w:tcBorders>
            <w:vAlign w:val="top"/>
          </w:tcPr>
          <w:p>
            <w:pPr>
              <w:spacing w:before="82" w:line="22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药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品适应症：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051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82" w:line="221" w:lineRule="auto"/>
              <w:ind w:left="7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是否已经给药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口是  口 否</w:t>
            </w:r>
          </w:p>
        </w:tc>
        <w:tc>
          <w:tcPr>
            <w:tcW w:w="5281" w:type="dxa"/>
            <w:gridSpan w:val="4"/>
            <w:tcBorders>
              <w:right w:val="single" w:color="000000" w:sz="8" w:space="0"/>
            </w:tcBorders>
            <w:vAlign w:val="top"/>
          </w:tcPr>
          <w:p>
            <w:pPr>
              <w:spacing w:before="82" w:line="220" w:lineRule="auto"/>
              <w:ind w:left="1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开始用药时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间：       年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66" w:line="270" w:lineRule="auto"/>
              <w:ind w:left="445" w:right="80" w:hanging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对试验用药采取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的措施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220" w:line="220" w:lineRule="auto"/>
              <w:ind w:left="16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继续用药  口减少剂量  口停药  口停药后恢复用药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81" w:line="221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是否破盲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66" w:line="270" w:lineRule="auto"/>
              <w:ind w:left="445" w:right="80" w:hanging="375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口未破盲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口已破盲(破盲时间：  年  月  日):</w:t>
            </w:r>
          </w:p>
          <w:p>
            <w:pPr>
              <w:spacing w:before="66" w:line="270" w:lineRule="auto"/>
              <w:ind w:left="445" w:right="80" w:hanging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口试验组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口对照组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before="223" w:line="221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与S</w:t>
            </w:r>
            <w:r>
              <w:rPr>
                <w:rFonts w:ascii="宋体" w:hAnsi="宋体" w:eastAsia="宋体" w:cs="宋体"/>
                <w:sz w:val="18"/>
                <w:szCs w:val="18"/>
              </w:rPr>
              <w:t>USAR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相关性</w:t>
            </w:r>
          </w:p>
        </w:tc>
        <w:tc>
          <w:tcPr>
            <w:tcW w:w="7915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59" w:line="323" w:lineRule="auto"/>
              <w:ind w:right="40" w:firstLine="336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口肯定有关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口很可能有关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口可能有关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口可能无关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口肯定无关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口无法评价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332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9" w:line="323" w:lineRule="auto"/>
              <w:ind w:right="40" w:firstLine="312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请描述事件情况与原因： 如临床表现及处理的详细情况， 包括： 患者一般情况， 疾病史， 入组后诊断、治疗情况， 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有合并用药及具体药物、给药方法， 出现不良反应的时间、严重程度， 相关检查检验结果， 采取的措施(包括是否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药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停药、减药停药后不良反应是否仍然存在、是否进行了对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症治疗、具体治疗方法、停药后是否再次使用药物、是否出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现不良反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应等)、转归(包括出现不良反应后历次相关检查检验结果等)。与试验药物因果关系判定应综合非临床安全性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研究结果、其他临床研究安全性信息、同类药物安全性研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究信息、药物作用机理等，简单分析并阐述与药物的相关性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及判定依据等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332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4" w:line="221" w:lineRule="auto"/>
              <w:ind w:left="3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二、可疑且非预期的不</w:t>
            </w:r>
            <w:r>
              <w:rPr>
                <w:rFonts w:ascii="宋体" w:hAnsi="宋体" w:eastAsia="宋体" w:cs="宋体"/>
                <w:sz w:val="18"/>
                <w:szCs w:val="18"/>
              </w:rPr>
              <w:t>良反应的影响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332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4" w:line="221" w:lineRule="auto"/>
              <w:ind w:left="3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影响</w:t>
            </w:r>
            <w:r>
              <w:rPr>
                <w:rFonts w:hint="eastAsia" w:ascii="宋体" w:hAnsi="宋体" w:cs="宋体"/>
                <w:spacing w:val="3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的安全 □是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332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4" w:line="220" w:lineRule="auto"/>
              <w:ind w:left="3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影响</w:t>
            </w:r>
            <w:r>
              <w:rPr>
                <w:rFonts w:hint="eastAsia" w:ascii="宋体" w:hAnsi="宋体" w:cs="宋体"/>
                <w:spacing w:val="3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的权益 □是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332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3" w:line="220" w:lineRule="auto"/>
              <w:ind w:left="3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对研究结果产生显著影</w:t>
            </w:r>
            <w:r>
              <w:rPr>
                <w:rFonts w:ascii="宋体" w:hAnsi="宋体" w:eastAsia="宋体" w:cs="宋体"/>
                <w:sz w:val="18"/>
                <w:szCs w:val="18"/>
              </w:rPr>
              <w:t>响□是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666" w:type="dxa"/>
            <w:gridSpan w:val="3"/>
            <w:tcBorders>
              <w:left w:val="single" w:color="000000" w:sz="8" w:space="0"/>
            </w:tcBorders>
            <w:vAlign w:val="top"/>
          </w:tcPr>
          <w:p>
            <w:pPr>
              <w:spacing w:before="122" w:line="22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究者签字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4666" w:type="dxa"/>
            <w:gridSpan w:val="3"/>
            <w:tcBorders>
              <w:right w:val="single" w:color="000000" w:sz="8" w:space="0"/>
            </w:tcBorders>
            <w:vAlign w:val="top"/>
          </w:tcPr>
          <w:p>
            <w:pPr>
              <w:spacing w:before="123" w:line="220" w:lineRule="auto"/>
              <w:ind w:left="170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</w:tr>
    </w:tbl>
    <w:p>
      <w:pPr>
        <w:spacing w:before="36" w:line="185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rFonts w:hint="eastAsia"/>
        <w:lang w:eastAsia="zh-CN"/>
      </w:rPr>
      <w:drawing>
        <wp:inline distT="0" distB="0" distL="114300" distR="114300">
          <wp:extent cx="374015" cy="336550"/>
          <wp:effectExtent l="0" t="0" r="6985" b="6350"/>
          <wp:docPr id="1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新余市人民医院</w:t>
    </w:r>
    <w:r>
      <w:rPr>
        <w:rFonts w:hint="eastAsia"/>
        <w:lang w:val="en-US" w:eastAsia="zh-CN"/>
      </w:rPr>
      <w:t>医学</w:t>
    </w:r>
    <w:r>
      <w:rPr>
        <w:rFonts w:hint="eastAsia"/>
        <w:lang w:eastAsia="zh-CN"/>
      </w:rPr>
      <w:t>伦理</w:t>
    </w:r>
    <w:r>
      <w:rPr>
        <w:rFonts w:hint="eastAsia"/>
        <w:lang w:val="en-US" w:eastAsia="zh-CN"/>
      </w:rPr>
      <w:t>审查</w:t>
    </w:r>
    <w:r>
      <w:rPr>
        <w:rFonts w:hint="eastAsia"/>
        <w:lang w:eastAsia="zh-CN"/>
      </w:rPr>
      <w:t>委员会</w:t>
    </w:r>
    <w:r>
      <w:rPr>
        <w:rFonts w:hint="eastAsia"/>
        <w:lang w:val="en-US" w:eastAsia="zh-CN"/>
      </w:rPr>
      <w:t xml:space="preserve">                    </w:t>
    </w:r>
    <w:bookmarkStart w:id="0" w:name="_GoBack"/>
    <w:bookmarkEnd w:id="0"/>
    <w:r>
      <w:rPr>
        <w:rFonts w:hint="eastAsia"/>
        <w:lang w:val="en-US" w:eastAsia="zh-CN"/>
      </w:rPr>
      <w:t xml:space="preserve">   F-XYSRMYY-LL-SOP-012-2.0C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ViYWM3ZmRlZGRiNjdkZjZkZTdiNWJjMDBiZDAifQ=="/>
  </w:docVars>
  <w:rsids>
    <w:rsidRoot w:val="00000000"/>
    <w:rsid w:val="0AAA48E8"/>
    <w:rsid w:val="0D9A3972"/>
    <w:rsid w:val="13933FF2"/>
    <w:rsid w:val="140551BD"/>
    <w:rsid w:val="15D0536A"/>
    <w:rsid w:val="17971DDE"/>
    <w:rsid w:val="23A736E9"/>
    <w:rsid w:val="23AE3EC6"/>
    <w:rsid w:val="33537421"/>
    <w:rsid w:val="36CB5682"/>
    <w:rsid w:val="3E6269C0"/>
    <w:rsid w:val="440870A3"/>
    <w:rsid w:val="44B461E9"/>
    <w:rsid w:val="47D51411"/>
    <w:rsid w:val="4F4B3780"/>
    <w:rsid w:val="5AA15946"/>
    <w:rsid w:val="621A5025"/>
    <w:rsid w:val="69D876DB"/>
    <w:rsid w:val="6CC50A28"/>
    <w:rsid w:val="78A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574</Characters>
  <Lines>0</Lines>
  <Paragraphs>0</Paragraphs>
  <TotalTime>3</TotalTime>
  <ScaleCrop>false</ScaleCrop>
  <LinksUpToDate>false</LinksUpToDate>
  <CharactersWithSpaces>627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mini唐爱君</cp:lastModifiedBy>
  <dcterms:modified xsi:type="dcterms:W3CDTF">2023-09-22T08:38:57Z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5313C92BCB0740848D8906FFF60BB3CA</vt:lpwstr>
  </property>
</Properties>
</file>